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108355405" name="Picture">
</wp:docPr>
                  <a:graphic>
                    <a:graphicData uri="http://schemas.openxmlformats.org/drawingml/2006/picture">
                      <pic:pic>
                        <pic:nvPicPr>
                          <pic:cNvPr id="210835540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216.24.00011 Приобретение расходных материалов для средств печати для нужд Уфимского филиала ООО «Интер РАО-Инжиниринг»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6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технического предложения</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Гарантийные обязательства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3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164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57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6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9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поставок;</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Оценка технического предложения;</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значимость каждого подкритерия критерия 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балл по критерию Оценка технического предложения</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Оценка технического предложения</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0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Гарантийные обязательства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br/>
                          <w:t xml:space="preserve">1 балл -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br/>
                          <w:t xml:space="preserve">От 2 до 5 баллов  - От 2 до 5 баллов рассчитывается по формуле: 2+((Туг1+Туг2)-(Ттзг1+Ттзг2))/6, где Туг1 - продолжительность гарантии № 1 предложенная Участником (мес); Туг2 - продолжительность гарантии № 2 предложенная Участником (мес); Ттзг1 - продолжительность гарантии № 1 требовавшаяся по ТЗ (мес); Ттзг2 - продолжительность гарантии № 2 требовавшаяся по ТЗ (мес).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216.24.00011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1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